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45E" w:rsidRDefault="0000645E" w:rsidP="00565980">
      <w:pPr>
        <w:pStyle w:val="AralkYok"/>
        <w:rPr>
          <w:sz w:val="20"/>
          <w:szCs w:val="20"/>
        </w:rPr>
      </w:pPr>
    </w:p>
    <w:p w:rsidR="00640FF3" w:rsidRPr="00AA576B" w:rsidRDefault="00747410" w:rsidP="00640FF3">
      <w:pPr>
        <w:pStyle w:val="AralkYok"/>
        <w:jc w:val="center"/>
        <w:rPr>
          <w:b/>
        </w:rPr>
      </w:pPr>
      <w:hyperlink r:id="rId6" w:history="1">
        <w:r w:rsidR="00E67EDD" w:rsidRPr="007D5CDF">
          <w:rPr>
            <w:rStyle w:val="Kpr"/>
            <w:b/>
          </w:rPr>
          <w:t>2. SINIF MATEMATİK DERSİ DERS PLANI</w:t>
        </w:r>
      </w:hyperlink>
    </w:p>
    <w:p w:rsidR="00640FF3" w:rsidRPr="00FF1DD2" w:rsidRDefault="00E67EDD" w:rsidP="00640FF3">
      <w:pPr>
        <w:pStyle w:val="AralkYok"/>
        <w:jc w:val="center"/>
        <w:rPr>
          <w:b/>
          <w:color w:val="FF0000"/>
        </w:rPr>
      </w:pPr>
      <w:r>
        <w:rPr>
          <w:b/>
          <w:color w:val="FF0000"/>
        </w:rPr>
        <w:t>37.</w:t>
      </w:r>
      <w:r w:rsidRPr="00FF1DD2">
        <w:rPr>
          <w:b/>
          <w:color w:val="FF0000"/>
        </w:rPr>
        <w:t xml:space="preserve">Hafta </w:t>
      </w:r>
    </w:p>
    <w:p w:rsidR="00640FF3" w:rsidRPr="00AA576B" w:rsidRDefault="00E67EDD" w:rsidP="00640FF3">
      <w:pPr>
        <w:pStyle w:val="AralkYok"/>
        <w:jc w:val="center"/>
        <w:rPr>
          <w:b/>
        </w:rPr>
      </w:pPr>
      <w:r>
        <w:rPr>
          <w:b/>
        </w:rPr>
        <w:t>(15-19 HAZİRAN 2026)</w:t>
      </w:r>
    </w:p>
    <w:p w:rsidR="00640FF3" w:rsidRDefault="00640FF3" w:rsidP="00640FF3">
      <w:pPr>
        <w:pStyle w:val="AralkYok"/>
        <w:jc w:val="center"/>
      </w:pPr>
    </w:p>
    <w:tbl>
      <w:tblPr>
        <w:tblStyle w:val="TabloKlavuzu"/>
        <w:tblW w:w="0" w:type="auto"/>
        <w:jc w:val="center"/>
        <w:tblLook w:val="04A0" w:firstRow="1" w:lastRow="0" w:firstColumn="1" w:lastColumn="0" w:noHBand="0" w:noVBand="1"/>
      </w:tblPr>
      <w:tblGrid>
        <w:gridCol w:w="2405"/>
        <w:gridCol w:w="8647"/>
      </w:tblGrid>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DERS SAATİ</w:t>
            </w:r>
          </w:p>
        </w:tc>
        <w:tc>
          <w:tcPr>
            <w:tcW w:w="8647" w:type="dxa"/>
            <w:vAlign w:val="center"/>
          </w:tcPr>
          <w:p w:rsidR="00640FF3" w:rsidRPr="00B712AE" w:rsidRDefault="00E67EDD" w:rsidP="000D43CA">
            <w:pPr>
              <w:pStyle w:val="AralkYok"/>
              <w:rPr>
                <w:sz w:val="18"/>
                <w:szCs w:val="18"/>
              </w:rPr>
            </w:pPr>
            <w:r w:rsidRPr="00B712AE">
              <w:rPr>
                <w:rFonts w:ascii="Tahoma" w:hAnsi="Tahoma" w:cs="Tahoma"/>
                <w:sz w:val="18"/>
                <w:szCs w:val="18"/>
                <w14:ligatures w14:val="standardContextual"/>
              </w:rPr>
              <w:t>5  Ders saati</w:t>
            </w:r>
          </w:p>
        </w:tc>
      </w:tr>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TEMA</w:t>
            </w:r>
          </w:p>
        </w:tc>
        <w:tc>
          <w:tcPr>
            <w:tcW w:w="8647" w:type="dxa"/>
            <w:vAlign w:val="center"/>
          </w:tcPr>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VERİYE DAYALI ARAŞTIRMA</w:t>
            </w:r>
          </w:p>
        </w:tc>
      </w:tr>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İÇERİK ÇERÇEVESİ</w:t>
            </w:r>
          </w:p>
        </w:tc>
        <w:tc>
          <w:tcPr>
            <w:tcW w:w="8647" w:type="dxa"/>
            <w:vAlign w:val="center"/>
          </w:tcPr>
          <w:p w:rsidR="00640FF3" w:rsidRPr="00B712AE" w:rsidRDefault="00E67EDD" w:rsidP="000D43CA">
            <w:pPr>
              <w:pStyle w:val="AralkYok"/>
              <w:rPr>
                <w:rFonts w:ascii="Tahoma" w:hAnsi="Tahoma" w:cs="Tahoma"/>
                <w:b/>
                <w:sz w:val="18"/>
                <w:szCs w:val="18"/>
                <w14:ligatures w14:val="standardContextual"/>
              </w:rPr>
            </w:pPr>
            <w:r w:rsidRPr="00B712AE">
              <w:rPr>
                <w:rFonts w:ascii="Barlow-Light" w:hAnsi="Barlow-Light" w:cs="Barlow-Light"/>
                <w:b/>
                <w:sz w:val="18"/>
                <w:szCs w:val="18"/>
                <w14:ligatures w14:val="standardContextual"/>
              </w:rPr>
              <w:t>Kategorik Veri</w:t>
            </w:r>
          </w:p>
        </w:tc>
      </w:tr>
      <w:tr w:rsidR="008A3B48" w:rsidTr="00B712AE">
        <w:trPr>
          <w:jc w:val="center"/>
        </w:trPr>
        <w:tc>
          <w:tcPr>
            <w:tcW w:w="2405" w:type="dxa"/>
            <w:vAlign w:val="center"/>
          </w:tcPr>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ÖĞRENME ÇIKTILARI</w:t>
            </w:r>
          </w:p>
          <w:p w:rsidR="00640FF3" w:rsidRPr="00B712AE" w:rsidRDefault="00E67EDD" w:rsidP="000D43CA">
            <w:pPr>
              <w:pStyle w:val="AralkYok"/>
              <w:rPr>
                <w:sz w:val="18"/>
                <w:szCs w:val="18"/>
              </w:rPr>
            </w:pPr>
            <w:r w:rsidRPr="00B712AE">
              <w:rPr>
                <w:rFonts w:ascii="Tahoma" w:hAnsi="Tahoma" w:cs="Tahoma"/>
                <w:b/>
                <w:sz w:val="18"/>
                <w:szCs w:val="18"/>
                <w14:ligatures w14:val="standardContextual"/>
              </w:rPr>
              <w:t>VE SÜREÇ BİLEŞENLERİ</w:t>
            </w:r>
          </w:p>
        </w:tc>
        <w:tc>
          <w:tcPr>
            <w:tcW w:w="8647" w:type="dxa"/>
            <w:vAlign w:val="center"/>
          </w:tcPr>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MAT.2.4.1. Kategorik veriye dayalı en çok iki veri grubu ile çalışabilme ve veriye dayalı karar verebilme (5 saat)</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a) Kategorik veriye dayalı istatistiksel araştırma gerektiren günlük yaşam durumu belirler.</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b) Kategorik veriye dayalı betimleme v</w:t>
            </w:r>
            <w:bookmarkStart w:id="0" w:name="_GoBack"/>
            <w:bookmarkEnd w:id="0"/>
            <w:r w:rsidRPr="00B712AE">
              <w:rPr>
                <w:rFonts w:ascii="Tahoma" w:hAnsi="Tahoma" w:cs="Tahoma"/>
                <w:sz w:val="18"/>
                <w:szCs w:val="18"/>
                <w14:ligatures w14:val="standardContextual"/>
              </w:rPr>
              <w:t>eya karşılaştırma gerektirebilecek araştırma soruları oluşturur.</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c) Kategorik verileri toplamak için plan yapar.</w:t>
            </w:r>
            <w:r w:rsidR="00B712AE" w:rsidRPr="00B712AE">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ç) Kategorik verileri toplar.</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d) Toplanan verileri analiz etmek için görselleştirme araçlarından çetele tablosu, sıklık tablosu ve şekil grafiğini seçer.</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e) Seçtiği araçlarla verileri görselleştirerek analiz eder.</w:t>
            </w:r>
            <w:r w:rsidR="00B712AE" w:rsidRPr="00B712AE">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f) Araştırma sonuçlarını yorumlar.</w:t>
            </w:r>
          </w:p>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sz w:val="18"/>
                <w:szCs w:val="18"/>
                <w14:ligatures w14:val="standardContextual"/>
              </w:rPr>
              <w:t>g) Araştırma sonuçlarını araştırma sorularına göre değerlendirir.</w:t>
            </w:r>
          </w:p>
        </w:tc>
      </w:tr>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EĞİTİM ARAÇ-GEREÇLERİ</w:t>
            </w:r>
          </w:p>
        </w:tc>
        <w:tc>
          <w:tcPr>
            <w:tcW w:w="8647" w:type="dxa"/>
            <w:vAlign w:val="center"/>
          </w:tcPr>
          <w:p w:rsidR="00640FF3" w:rsidRPr="00B712AE" w:rsidRDefault="00E67EDD" w:rsidP="000D43CA">
            <w:pPr>
              <w:pStyle w:val="AralkYok"/>
              <w:rPr>
                <w:sz w:val="18"/>
                <w:szCs w:val="18"/>
              </w:rPr>
            </w:pPr>
            <w:r w:rsidRPr="00B712AE">
              <w:rPr>
                <w:rFonts w:ascii="Tahoma" w:hAnsi="Tahoma" w:cs="Tahoma"/>
                <w:sz w:val="18"/>
                <w:szCs w:val="18"/>
              </w:rPr>
              <w:t xml:space="preserve">Matematik ders kitabı, web2 uygulamaları, çalışma kağıtları, </w:t>
            </w:r>
          </w:p>
        </w:tc>
      </w:tr>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YÖNTEM - TEKNİKLER</w:t>
            </w:r>
          </w:p>
        </w:tc>
        <w:tc>
          <w:tcPr>
            <w:tcW w:w="8647" w:type="dxa"/>
            <w:vAlign w:val="center"/>
          </w:tcPr>
          <w:p w:rsidR="00640FF3" w:rsidRPr="00B712AE" w:rsidRDefault="00E67EDD" w:rsidP="000D43CA">
            <w:pPr>
              <w:pStyle w:val="AralkYok"/>
              <w:rPr>
                <w:sz w:val="18"/>
                <w:szCs w:val="18"/>
              </w:rPr>
            </w:pPr>
            <w:r w:rsidRPr="00B712AE">
              <w:rPr>
                <w:rFonts w:ascii="Tahoma" w:hAnsi="Tahoma" w:cs="Tahoma"/>
                <w:sz w:val="18"/>
                <w:szCs w:val="18"/>
              </w:rPr>
              <w:t>1.Anlatım 2.Tümevarım 3. Tümdengelim 4. Grup tartışması 5. Gezi gözlem 6. Gösteri 7. Soru yanıt 8. Örnek olay  9. Beyin fırtınası 10. Canlandırma 11. Grup çalışmaları 12. Oyunlar 13. Rol yapma</w:t>
            </w:r>
          </w:p>
        </w:tc>
      </w:tr>
      <w:tr w:rsidR="008A3B48" w:rsidTr="00B712AE">
        <w:trPr>
          <w:jc w:val="center"/>
        </w:trPr>
        <w:tc>
          <w:tcPr>
            <w:tcW w:w="2405" w:type="dxa"/>
            <w:vAlign w:val="center"/>
          </w:tcPr>
          <w:p w:rsidR="00640FF3" w:rsidRPr="00B712AE" w:rsidRDefault="00E67EDD" w:rsidP="000D43CA">
            <w:pPr>
              <w:pStyle w:val="AralkYok"/>
              <w:rPr>
                <w:sz w:val="18"/>
                <w:szCs w:val="18"/>
              </w:rPr>
            </w:pPr>
            <w:r w:rsidRPr="00B712AE">
              <w:rPr>
                <w:rFonts w:ascii="Tahoma" w:hAnsi="Tahoma" w:cs="Tahoma"/>
                <w:b/>
                <w:sz w:val="18"/>
                <w:szCs w:val="18"/>
                <w14:ligatures w14:val="standardContextual"/>
              </w:rPr>
              <w:t>Anahtar Kavramlar ve Semboller</w:t>
            </w:r>
          </w:p>
        </w:tc>
        <w:tc>
          <w:tcPr>
            <w:tcW w:w="8647" w:type="dxa"/>
            <w:vAlign w:val="center"/>
          </w:tcPr>
          <w:p w:rsidR="00640FF3" w:rsidRPr="00B712AE" w:rsidRDefault="00E67EDD" w:rsidP="000D43CA">
            <w:pPr>
              <w:pStyle w:val="AralkYok"/>
              <w:rPr>
                <w:sz w:val="18"/>
                <w:szCs w:val="18"/>
              </w:rPr>
            </w:pPr>
            <w:r w:rsidRPr="00B712AE">
              <w:rPr>
                <w:rFonts w:ascii="Tahoma" w:hAnsi="Tahoma" w:cs="Tahoma"/>
                <w:sz w:val="18"/>
                <w:szCs w:val="18"/>
                <w14:ligatures w14:val="standardContextual"/>
              </w:rPr>
              <w:t>şekil grafiği</w:t>
            </w:r>
          </w:p>
        </w:tc>
      </w:tr>
      <w:tr w:rsidR="008A3B48" w:rsidTr="00B712AE">
        <w:trPr>
          <w:jc w:val="center"/>
        </w:trPr>
        <w:tc>
          <w:tcPr>
            <w:tcW w:w="2405" w:type="dxa"/>
            <w:vAlign w:val="center"/>
          </w:tcPr>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ÖĞRENME KANITLARI</w:t>
            </w:r>
          </w:p>
          <w:p w:rsidR="00640FF3" w:rsidRPr="00B712AE" w:rsidRDefault="00E67EDD"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(Ölçme ve Değerlendirme)</w:t>
            </w:r>
          </w:p>
        </w:tc>
        <w:tc>
          <w:tcPr>
            <w:tcW w:w="8647" w:type="dxa"/>
            <w:vAlign w:val="center"/>
          </w:tcPr>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Bu temaya ait öğrenme çıktıları; açık uçlu ve eşleştirme sorularından oluşan çalışma kâğıdı</w:t>
            </w:r>
          </w:p>
          <w:p w:rsidR="00640FF3" w:rsidRPr="00B712AE" w:rsidRDefault="00E67EDD" w:rsidP="000D43CA">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ve kontrol listesi ile değerlendirilebilir.</w:t>
            </w:r>
          </w:p>
        </w:tc>
      </w:tr>
      <w:tr w:rsidR="00747410" w:rsidTr="00966260">
        <w:trPr>
          <w:trHeight w:val="7180"/>
          <w:jc w:val="center"/>
        </w:trPr>
        <w:tc>
          <w:tcPr>
            <w:tcW w:w="2405" w:type="dxa"/>
            <w:vAlign w:val="center"/>
          </w:tcPr>
          <w:p w:rsidR="00747410" w:rsidRPr="00B712AE" w:rsidRDefault="00747410"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Öğretme-Öğrenme</w:t>
            </w:r>
          </w:p>
          <w:p w:rsidR="00747410" w:rsidRPr="00B712AE" w:rsidRDefault="00747410" w:rsidP="000D43CA">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Uygulamalar</w:t>
            </w:r>
          </w:p>
        </w:tc>
        <w:tc>
          <w:tcPr>
            <w:tcW w:w="8647" w:type="dxa"/>
            <w:vAlign w:val="center"/>
          </w:tcPr>
          <w:p w:rsidR="00747410" w:rsidRPr="00B712AE" w:rsidRDefault="00747410" w:rsidP="000D43CA">
            <w:pPr>
              <w:pStyle w:val="AralkYok"/>
              <w:rPr>
                <w:rFonts w:ascii="Tahoma" w:hAnsi="Tahoma" w:cs="Tahoma"/>
                <w:sz w:val="18"/>
                <w:szCs w:val="18"/>
                <w14:ligatures w14:val="standardContextual"/>
              </w:rPr>
            </w:pPr>
            <w:r w:rsidRPr="00B712AE">
              <w:rPr>
                <w:rFonts w:ascii="Tahoma" w:hAnsi="Tahoma" w:cs="Tahoma"/>
                <w:b/>
                <w:sz w:val="18"/>
                <w:szCs w:val="18"/>
                <w14:ligatures w14:val="standardContextual"/>
              </w:rPr>
              <w:t>MAT.2.4.1. Kategorik veriye dayalı en çok iki veri grubu ile çalışabilme ve veriye dayalı karar verebilme (5 saat)</w:t>
            </w:r>
            <w:r w:rsidRPr="00B712AE">
              <w:rPr>
                <w:rFonts w:ascii="Tahoma" w:hAnsi="Tahoma" w:cs="Tahoma"/>
                <w:sz w:val="18"/>
                <w:szCs w:val="18"/>
                <w14:ligatures w14:val="standardContextual"/>
              </w:rPr>
              <w:t xml:space="preserve">  </w:t>
            </w:r>
          </w:p>
          <w:p w:rsidR="00747410" w:rsidRPr="00B712AE" w:rsidRDefault="00747410" w:rsidP="00640FF3">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Toplanan veriyi özetlemek ve görselleştirmek için kullanılacak araçların (çetele, sıklık tablosu, şekil grafiği) uygunluğu konusunda öğrencilerin düşünmeleri sağlanır (SDB2.1). Öğrencilerden/ gruplardan topladıkları veriyi kendi belirledikleri özelliklerine göre gruplamalarının ardından çetele tablosu, sıklık tablosu ve şekil grafiği ile ifade etmeleri istenir. Daha sonra öğrencilerin topladıkları verileri nasıl görselleştirebilecekleri üzerine düşünmeleri, düşüncelerini sınıf içinde tartışmaları ve karar vermeleri sağlanır (SDB2.1). Her bir verinin bir şekle karşılık geldiği belirtilerek öğrencilerin sıklık tablosundan hareketle verileri şekil grafiğine yerleştirmeleri sağlanır. Bu süreçte öğrencilerin çetele ve sıklık tablosunda gösterimleri ile şekil-veri eşleştirmelerinin gösterimleri kontrol listesi ile değerlendirilebilir.</w:t>
            </w:r>
          </w:p>
          <w:p w:rsidR="00747410" w:rsidRPr="00B712AE" w:rsidRDefault="00747410" w:rsidP="00640FF3">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Veri görselleştirme adımında nesne grafiği ile şekil grafiğinin ilişkisine odaklanılır, nesne</w:t>
            </w:r>
            <w:r>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grafiğinde bir nesnenin resmi ile gösterilen bir verinin şekil grafiğinde herhangi bir (yıldız,</w:t>
            </w:r>
            <w:r>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kare, üçgen vb) şekille gösterildiğini fark etmeleri sağlanır (SDB3.1). Böylelikle bu verilerin</w:t>
            </w:r>
            <w:r>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belirli bir yöntemle düzenli ve sistematik bir şekilde ele alınması sağlanır (E3.7, D3.4).</w:t>
            </w:r>
          </w:p>
          <w:p w:rsidR="00747410" w:rsidRPr="00B712AE" w:rsidRDefault="00747410" w:rsidP="00534DBC">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 xml:space="preserve">Öğrencilerin verileri görselleştirmede kullanılan çetele ve sıklık tablosu ile şekil grafiğinin aynı zamanda birer matematiksel temsil olduğu, öğrencilerin bu temsiller bağlamındaki anlamları ile de tanışmaları sağlanmış olur (MAB3.1). </w:t>
            </w:r>
          </w:p>
          <w:p w:rsidR="00747410" w:rsidRPr="00B712AE" w:rsidRDefault="00747410" w:rsidP="00534DBC">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Verileri görselleştirme adımında çevrim içi araçlardan yararlanılır (OB2).  Veri görselleştirme adımı tamamlandıktan sonra öğrencilere elde ettikleri grafik üzerinde</w:t>
            </w:r>
            <w:r>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sayısal işlem yapmadan şekil-veri eşleştirmesine yönelik “Grafikle ilgili ne söyleyebilirsiniz?</w:t>
            </w:r>
            <w:r>
              <w:rPr>
                <w:rFonts w:ascii="Tahoma" w:hAnsi="Tahoma" w:cs="Tahoma"/>
                <w:sz w:val="18"/>
                <w:szCs w:val="18"/>
                <w14:ligatures w14:val="standardContextual"/>
              </w:rPr>
              <w:t xml:space="preserve"> </w:t>
            </w:r>
            <w:r w:rsidRPr="00B712AE">
              <w:rPr>
                <w:rFonts w:ascii="Tahoma" w:hAnsi="Tahoma" w:cs="Tahoma"/>
                <w:sz w:val="18"/>
                <w:szCs w:val="18"/>
                <w14:ligatures w14:val="standardContextual"/>
              </w:rPr>
              <w:t xml:space="preserve">Hangisi daha fazladır/daha azdır?” gibi sorular sorularak araştırma sonuçlarını yorumlamaları sağlanır (SDB2.1). Ayrıca veri yorumlama adımında grafikten ne anladıklarına yönelik sorular sorularak elde edilen araştırma sonuçlarının araştırma sorularına ne derece cevap verdiğini değerlendirmeleri istenir. Bu süreçte öğrencilerin şekil-veri eşleştirmeleri boşluk doldurma soruları ile değerlendirilebilir. </w:t>
            </w:r>
          </w:p>
          <w:p w:rsidR="00747410" w:rsidRPr="00B712AE" w:rsidRDefault="00747410" w:rsidP="00534DBC">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Öğrencilere sınıf içinde farklı verilerle hazırlanan grafiklerin yorumlanmasının eldeki verilere göre yapıldığı ve yorumların sadece o grafiğin bağlamı içinde sunulduğu çeşitli örneklerle gösterilir. Bu süreçte öğrencilere “Bu veriler 2/A sınıfından toplandı, 2/B sınıfından da toplansaydı aynı sonuçları elde eder miydik?” gibi sorular sorularak veri toplanan kişilerin değişebilirliğini fark etmeleri sağlanır (SDB2.1).</w:t>
            </w:r>
          </w:p>
          <w:p w:rsidR="00747410" w:rsidRPr="00B712AE" w:rsidRDefault="00747410" w:rsidP="00534DBC">
            <w:pPr>
              <w:pStyle w:val="AralkYok"/>
              <w:rPr>
                <w:rFonts w:ascii="Tahoma" w:hAnsi="Tahoma" w:cs="Tahoma"/>
                <w:sz w:val="18"/>
                <w:szCs w:val="18"/>
                <w14:ligatures w14:val="standardContextual"/>
              </w:rPr>
            </w:pPr>
            <w:r w:rsidRPr="00B712AE">
              <w:rPr>
                <w:rFonts w:ascii="Tahoma" w:hAnsi="Tahoma" w:cs="Tahoma"/>
                <w:sz w:val="18"/>
                <w:szCs w:val="18"/>
                <w14:ligatures w14:val="standardContextual"/>
              </w:rPr>
              <w:t xml:space="preserve">  </w:t>
            </w:r>
            <w:r w:rsidRPr="00B712AE">
              <w:rPr>
                <w:rFonts w:ascii="Tahoma" w:hAnsi="Tahoma" w:cs="Tahoma"/>
                <w:color w:val="000000" w:themeColor="text1"/>
                <w:sz w:val="18"/>
                <w:szCs w:val="18"/>
                <w14:ligatures w14:val="standardContextual"/>
              </w:rPr>
              <w:t xml:space="preserve">♦ </w:t>
            </w:r>
            <w:r w:rsidRPr="00B712AE">
              <w:rPr>
                <w:rFonts w:ascii="Tahoma" w:hAnsi="Tahoma" w:cs="Tahoma"/>
                <w:sz w:val="18"/>
                <w:szCs w:val="18"/>
                <w14:ligatures w14:val="standardContextual"/>
              </w:rPr>
              <w:t>Öğrencilere iki veri grubu içeren çetele, sıklık tablosu ve şekil grafiğine yönelik olarak açık uçlu ve boşluk doldurma soruları verilebilir. Öğrencilere şekil grafiğinde verilen sayılara ilişkin şekil-veri eşleştirmelerine yönelik birden fazla duyuya hitap edeceği dijital araçlardan yararlanarak çalışmalar yapmaları sağlanır. Bu sayede şekil grafiği, çetele ve sıklık tablosu dijital araçlarla görselleştirileceği için iletişim araçlarındaki görsellerin algılanması ve tanınması sağlanır (OB2).</w:t>
            </w:r>
          </w:p>
        </w:tc>
      </w:tr>
      <w:tr w:rsidR="00747410" w:rsidTr="00534DBC">
        <w:trPr>
          <w:jc w:val="center"/>
        </w:trPr>
        <w:tc>
          <w:tcPr>
            <w:tcW w:w="2405" w:type="dxa"/>
            <w:vMerge w:val="restart"/>
            <w:vAlign w:val="center"/>
          </w:tcPr>
          <w:p w:rsidR="00747410" w:rsidRPr="00B712AE" w:rsidRDefault="00747410" w:rsidP="00534DBC">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FARKLILAŞTIRMA</w:t>
            </w:r>
          </w:p>
        </w:tc>
        <w:tc>
          <w:tcPr>
            <w:tcW w:w="8647" w:type="dxa"/>
            <w:vAlign w:val="center"/>
          </w:tcPr>
          <w:p w:rsidR="00747410" w:rsidRPr="00B712AE" w:rsidRDefault="00747410" w:rsidP="00534DBC">
            <w:pPr>
              <w:pStyle w:val="AralkYok"/>
              <w:rPr>
                <w:rFonts w:ascii="Tahoma" w:hAnsi="Tahoma" w:cs="Tahoma"/>
                <w:color w:val="FF0000"/>
                <w:sz w:val="18"/>
                <w:szCs w:val="18"/>
                <w14:ligatures w14:val="standardContextual"/>
              </w:rPr>
            </w:pPr>
            <w:r w:rsidRPr="00B712AE">
              <w:rPr>
                <w:rFonts w:ascii="Tahoma" w:hAnsi="Tahoma" w:cs="Tahoma"/>
                <w:b/>
                <w:sz w:val="18"/>
                <w:szCs w:val="18"/>
                <w14:ligatures w14:val="standardContextual"/>
              </w:rPr>
              <w:t xml:space="preserve">ZENGİNLEŞTİRME </w:t>
            </w:r>
            <w:r w:rsidRPr="00B712AE">
              <w:rPr>
                <w:rFonts w:ascii="Tahoma" w:hAnsi="Tahoma" w:cs="Tahoma"/>
                <w:sz w:val="18"/>
                <w:szCs w:val="18"/>
                <w14:ligatures w14:val="standardContextual"/>
              </w:rPr>
              <w:t>Çeşitli özelliklere göre ayrılmış nesne veya durumlar verilip bunların hangi özelliğe göre sınıflandırıldığını bulmaları sağlanır. Sonrasında farklı bir özelliğe göre gruplayıp şekil grafiğinde göstermeleri beklenir. Öğrencilerden oluşturdukları bu grafiği yorumlamaları istenir.</w:t>
            </w:r>
          </w:p>
        </w:tc>
      </w:tr>
      <w:tr w:rsidR="00747410" w:rsidTr="00534DBC">
        <w:trPr>
          <w:jc w:val="center"/>
        </w:trPr>
        <w:tc>
          <w:tcPr>
            <w:tcW w:w="2405" w:type="dxa"/>
            <w:vMerge/>
            <w:vAlign w:val="center"/>
          </w:tcPr>
          <w:p w:rsidR="00747410" w:rsidRPr="00B712AE" w:rsidRDefault="00747410" w:rsidP="00534DBC">
            <w:pPr>
              <w:pStyle w:val="AralkYok"/>
              <w:rPr>
                <w:rFonts w:ascii="Tahoma" w:hAnsi="Tahoma" w:cs="Tahoma"/>
                <w:b/>
                <w:sz w:val="18"/>
                <w:szCs w:val="18"/>
                <w14:ligatures w14:val="standardContextual"/>
              </w:rPr>
            </w:pPr>
          </w:p>
        </w:tc>
        <w:tc>
          <w:tcPr>
            <w:tcW w:w="8647" w:type="dxa"/>
            <w:vAlign w:val="center"/>
          </w:tcPr>
          <w:p w:rsidR="00747410" w:rsidRPr="00B712AE" w:rsidRDefault="00747410" w:rsidP="00534DBC">
            <w:pPr>
              <w:pStyle w:val="AralkYok"/>
              <w:rPr>
                <w:rFonts w:ascii="Tahoma" w:hAnsi="Tahoma" w:cs="Tahoma"/>
                <w:b/>
                <w:sz w:val="18"/>
                <w:szCs w:val="18"/>
                <w14:ligatures w14:val="standardContextual"/>
              </w:rPr>
            </w:pPr>
            <w:r w:rsidRPr="00B712AE">
              <w:rPr>
                <w:rFonts w:ascii="Tahoma" w:hAnsi="Tahoma" w:cs="Tahoma"/>
                <w:b/>
                <w:sz w:val="18"/>
                <w:szCs w:val="18"/>
                <w14:ligatures w14:val="standardContextual"/>
              </w:rPr>
              <w:t>DESTEKLEME</w:t>
            </w:r>
            <w:r w:rsidRPr="00B712AE">
              <w:rPr>
                <w:rFonts w:ascii="Tahoma" w:hAnsi="Tahoma" w:cs="Tahoma"/>
                <w:sz w:val="18"/>
                <w:szCs w:val="18"/>
                <w14:ligatures w14:val="standardContextual"/>
              </w:rPr>
              <w:t xml:space="preserve">  Öğrencilere renksiz görselleri olan tek veri grubuna yönelik her bir verinin bir ya da iki nesne veya durumu temsil ettiği hazır bir şekil grafiği verilir. Ardından öğrencilerden bu görselleri boyamaları istenir. Boyama işlemi tamamlandıktan sonra öğrencilere sorular sorularak araştırma sonuçlarının yorumlanması istenir.</w:t>
            </w:r>
          </w:p>
        </w:tc>
      </w:tr>
    </w:tbl>
    <w:p w:rsidR="008A3B48" w:rsidRDefault="008A3B48">
      <w:pPr>
        <w:spacing w:after="0"/>
        <w:rPr>
          <w:sz w:val="0"/>
          <w:szCs w:val="0"/>
        </w:rPr>
      </w:pPr>
    </w:p>
    <w:sectPr w:rsidR="008A3B48" w:rsidSect="000D43CA">
      <w:pgSz w:w="11906" w:h="16838"/>
      <w:pgMar w:top="426" w:right="284" w:bottom="567" w:left="284" w:header="284" w:footer="340" w:gutter="0"/>
      <w:pgNumType w:start="3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34040AF2">
      <w:start w:val="1"/>
      <w:numFmt w:val="decimal"/>
      <w:lvlText w:val=""/>
      <w:lvlJc w:val="left"/>
    </w:lvl>
    <w:lvl w:ilvl="1" w:tplc="5296A2FE">
      <w:numFmt w:val="decimal"/>
      <w:lvlText w:val=""/>
      <w:lvlJc w:val="left"/>
    </w:lvl>
    <w:lvl w:ilvl="2" w:tplc="63A2B564">
      <w:numFmt w:val="decimal"/>
      <w:lvlText w:val=""/>
      <w:lvlJc w:val="left"/>
    </w:lvl>
    <w:lvl w:ilvl="3" w:tplc="43C2C57A">
      <w:numFmt w:val="decimal"/>
      <w:lvlText w:val=""/>
      <w:lvlJc w:val="left"/>
    </w:lvl>
    <w:lvl w:ilvl="4" w:tplc="4ED23E92">
      <w:numFmt w:val="decimal"/>
      <w:lvlText w:val=""/>
      <w:lvlJc w:val="left"/>
    </w:lvl>
    <w:lvl w:ilvl="5" w:tplc="B824F13E">
      <w:numFmt w:val="decimal"/>
      <w:lvlText w:val=""/>
      <w:lvlJc w:val="left"/>
    </w:lvl>
    <w:lvl w:ilvl="6" w:tplc="595A5E04">
      <w:numFmt w:val="decimal"/>
      <w:lvlText w:val=""/>
      <w:lvlJc w:val="left"/>
    </w:lvl>
    <w:lvl w:ilvl="7" w:tplc="23A86630">
      <w:numFmt w:val="decimal"/>
      <w:lvlText w:val=""/>
      <w:lvlJc w:val="left"/>
    </w:lvl>
    <w:lvl w:ilvl="8" w:tplc="BCC4636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47410"/>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A3B48"/>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67EDD"/>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10"/>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D618-598D-40DC-A013-839D4F17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800</Words>
  <Characters>4560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2025-08-26T16:25:00Z</dcterms:modified>
  <cp:category>www.mustafakabul.com</cp:category>
</cp:coreProperties>
</file>